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3348"/>
        <w:gridCol w:w="5508"/>
      </w:tblGrid>
      <w:tr w:rsidR="00361781" w:rsidRPr="00373E36">
        <w:tc>
          <w:tcPr>
            <w:tcW w:w="3348" w:type="dxa"/>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b/>
                <w:bCs/>
              </w:rPr>
              <w:t>TỔNG LIÊN ĐOÀN LAO ĐỘNG VIỆT NAM</w:t>
            </w:r>
            <w:r w:rsidRPr="005F6B5F">
              <w:rPr>
                <w:rFonts w:ascii="Verdana" w:hAnsi="Verdana" w:cs="Verdana"/>
                <w:b/>
                <w:bCs/>
              </w:rPr>
              <w:br/>
              <w:t>--------</w:t>
            </w:r>
          </w:p>
        </w:tc>
        <w:tc>
          <w:tcPr>
            <w:tcW w:w="5508" w:type="dxa"/>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b/>
                <w:bCs/>
              </w:rPr>
              <w:t>CỘNG HÒA XÃ HỘI CHỦ NGHĨA VIỆT NAM</w:t>
            </w:r>
            <w:r w:rsidRPr="005F6B5F">
              <w:rPr>
                <w:rFonts w:ascii="Verdana" w:hAnsi="Verdana" w:cs="Verdana"/>
                <w:b/>
                <w:bCs/>
              </w:rPr>
              <w:br/>
              <w:t xml:space="preserve">Độc lập - Tự do - Hạnh phúc </w:t>
            </w:r>
            <w:r w:rsidRPr="005F6B5F">
              <w:rPr>
                <w:rFonts w:ascii="Verdana" w:hAnsi="Verdana" w:cs="Verdana"/>
                <w:b/>
                <w:bCs/>
              </w:rPr>
              <w:br/>
              <w:t>---------------</w:t>
            </w:r>
          </w:p>
        </w:tc>
      </w:tr>
      <w:tr w:rsidR="00361781" w:rsidRPr="00373E36">
        <w:tc>
          <w:tcPr>
            <w:tcW w:w="3348" w:type="dxa"/>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Số: 168/QĐ–TLĐ</w:t>
            </w:r>
          </w:p>
        </w:tc>
        <w:tc>
          <w:tcPr>
            <w:tcW w:w="5508" w:type="dxa"/>
            <w:tcMar>
              <w:top w:w="0" w:type="dxa"/>
              <w:left w:w="108" w:type="dxa"/>
              <w:bottom w:w="0" w:type="dxa"/>
              <w:right w:w="108" w:type="dxa"/>
            </w:tcMar>
          </w:tcPr>
          <w:p w:rsidR="00361781" w:rsidRPr="005F6B5F" w:rsidRDefault="00361781" w:rsidP="005F6B5F">
            <w:pPr>
              <w:spacing w:after="120" w:line="312" w:lineRule="auto"/>
              <w:jc w:val="right"/>
              <w:rPr>
                <w:rFonts w:ascii="Verdana" w:hAnsi="Verdana" w:cs="Verdana"/>
              </w:rPr>
            </w:pPr>
            <w:r w:rsidRPr="005F6B5F">
              <w:rPr>
                <w:rFonts w:ascii="Verdana" w:hAnsi="Verdana" w:cs="Verdana"/>
                <w:i/>
                <w:iCs/>
              </w:rPr>
              <w:t>Hà Nội, ngày 09 tháng 01 năm 2013</w:t>
            </w:r>
          </w:p>
        </w:tc>
      </w:tr>
    </w:tbl>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 </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QUYẾT ĐỊNH</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rPr>
        <w:t>VỀ VIỆC BAN HÀNH QUY ĐỊNH PHÂN PHỐI NGUỒN THU TÀI CHÍNH CÔNG ĐOÀN</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ĐOÀN CHỦ TỊCH TỔNG LIÊN ĐOÀN LAO ĐỘNG VIỆT NAM</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i/>
          <w:iCs/>
        </w:rPr>
        <w:t>- Căn cứ Luật Công đoàn năm 2012; Điều lệ Công đoàn Việt Nam.</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i/>
          <w:iCs/>
        </w:rPr>
        <w:t>- Căn cứ Nghị quyết Hội nghị lần thứ 10 Ban Chấp hành Tổng Liên đoàn Lao động Việt Nam khóa X.</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i/>
          <w:iCs/>
        </w:rPr>
        <w:t>- Theo đề nghị của Ban Tài chính Tổng Liên đoàn.</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QUYẾT ĐỊNH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 xml:space="preserve">Điều 1: </w:t>
      </w:r>
      <w:r w:rsidRPr="005F6B5F">
        <w:rPr>
          <w:rFonts w:ascii="Verdana" w:hAnsi="Verdana" w:cs="Verdana"/>
        </w:rPr>
        <w:t>Ban hành Quy định về phân phối nguồn thu tài chính công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2:</w:t>
      </w:r>
      <w:r w:rsidRPr="005F6B5F">
        <w:rPr>
          <w:rFonts w:ascii="Verdana" w:hAnsi="Verdana" w:cs="Verdana"/>
        </w:rPr>
        <w:t xml:space="preserve"> Quyết định này có hiệu lực thi hành từ ngày 01 tháng 01 năm 2013, thay thế Quy định số 1070/QĐ-TLĐ ngày 01 tháng 09 năm 2011 của Đoàn Chủ tịch Tổng Liên đoàn Lao động Việt Nam về phân phối nguồn thu ngân sách công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 xml:space="preserve">Điều 3: </w:t>
      </w:r>
      <w:r w:rsidRPr="005F6B5F">
        <w:rPr>
          <w:rFonts w:ascii="Verdana" w:hAnsi="Verdana" w:cs="Verdana"/>
        </w:rPr>
        <w:t>Các ban, đơn vị trực thuộc Tổng Liên đoàn; Công đoàn các cấp chịu trách nhiệm thi hành Quyết định này.</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 </w:t>
      </w:r>
    </w:p>
    <w:tbl>
      <w:tblPr>
        <w:tblW w:w="0" w:type="auto"/>
        <w:tblInd w:w="2" w:type="dxa"/>
        <w:tblCellMar>
          <w:left w:w="0" w:type="dxa"/>
          <w:right w:w="0" w:type="dxa"/>
        </w:tblCellMar>
        <w:tblLook w:val="00A0"/>
      </w:tblPr>
      <w:tblGrid>
        <w:gridCol w:w="3348"/>
        <w:gridCol w:w="5508"/>
      </w:tblGrid>
      <w:tr w:rsidR="00361781" w:rsidRPr="00373E36">
        <w:tc>
          <w:tcPr>
            <w:tcW w:w="3348" w:type="dxa"/>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sz w:val="16"/>
                <w:szCs w:val="16"/>
              </w:rPr>
              <w:t> </w:t>
            </w:r>
          </w:p>
          <w:p w:rsidR="00361781" w:rsidRPr="005F6B5F" w:rsidRDefault="00361781" w:rsidP="005F6B5F">
            <w:pPr>
              <w:spacing w:after="240" w:line="312" w:lineRule="auto"/>
              <w:rPr>
                <w:rFonts w:ascii="Verdana" w:hAnsi="Verdana" w:cs="Verdana"/>
              </w:rPr>
            </w:pPr>
            <w:r w:rsidRPr="005F6B5F">
              <w:rPr>
                <w:rFonts w:ascii="Verdana" w:hAnsi="Verdana" w:cs="Verdana"/>
                <w:b/>
                <w:bCs/>
                <w:i/>
                <w:iCs/>
              </w:rPr>
              <w:t>Nơi nhận:</w:t>
            </w:r>
            <w:r w:rsidRPr="005F6B5F">
              <w:rPr>
                <w:rFonts w:ascii="Verdana" w:hAnsi="Verdana" w:cs="Verdana"/>
                <w:b/>
                <w:bCs/>
                <w:i/>
                <w:iCs/>
              </w:rPr>
              <w:br/>
            </w:r>
            <w:r w:rsidRPr="005F6B5F">
              <w:rPr>
                <w:rFonts w:ascii="Verdana" w:hAnsi="Verdana" w:cs="Verdana"/>
                <w:sz w:val="16"/>
                <w:szCs w:val="16"/>
              </w:rPr>
              <w:t>- Như Điều 3</w:t>
            </w:r>
            <w:r w:rsidRPr="005F6B5F">
              <w:rPr>
                <w:rFonts w:ascii="Verdana" w:hAnsi="Verdana" w:cs="Verdana"/>
                <w:sz w:val="16"/>
                <w:szCs w:val="16"/>
              </w:rPr>
              <w:br/>
              <w:t>- Các đ/c UVĐCT TLĐ</w:t>
            </w:r>
            <w:r w:rsidRPr="005F6B5F">
              <w:rPr>
                <w:rFonts w:ascii="Verdana" w:hAnsi="Verdana" w:cs="Verdana"/>
                <w:sz w:val="16"/>
                <w:szCs w:val="16"/>
              </w:rPr>
              <w:br/>
              <w:t>- Lưu: Văn thư TLĐ.</w:t>
            </w:r>
          </w:p>
        </w:tc>
        <w:tc>
          <w:tcPr>
            <w:tcW w:w="5508" w:type="dxa"/>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b/>
                <w:bCs/>
              </w:rPr>
              <w:t>TM. ĐOÀN CHỦ TỊCH</w:t>
            </w:r>
            <w:r w:rsidRPr="005F6B5F">
              <w:rPr>
                <w:rFonts w:ascii="Verdana" w:hAnsi="Verdana" w:cs="Verdana"/>
                <w:b/>
                <w:bCs/>
              </w:rPr>
              <w:br/>
              <w:t>CHỦ TỊCH</w:t>
            </w:r>
            <w:r w:rsidRPr="005F6B5F">
              <w:rPr>
                <w:rFonts w:ascii="Verdana" w:hAnsi="Verdana" w:cs="Verdana"/>
                <w:b/>
                <w:bCs/>
              </w:rPr>
              <w:br/>
            </w:r>
            <w:r w:rsidRPr="005F6B5F">
              <w:rPr>
                <w:rFonts w:ascii="Verdana" w:hAnsi="Verdana" w:cs="Verdana"/>
                <w:b/>
                <w:bCs/>
              </w:rPr>
              <w:br/>
            </w:r>
            <w:r w:rsidRPr="005F6B5F">
              <w:rPr>
                <w:rFonts w:ascii="Verdana" w:hAnsi="Verdana" w:cs="Verdana"/>
                <w:b/>
                <w:bCs/>
              </w:rPr>
              <w:br/>
            </w:r>
            <w:r w:rsidRPr="005F6B5F">
              <w:rPr>
                <w:rFonts w:ascii="Verdana" w:hAnsi="Verdana" w:cs="Verdana"/>
                <w:b/>
                <w:bCs/>
              </w:rPr>
              <w:br/>
            </w:r>
            <w:r w:rsidRPr="005F6B5F">
              <w:rPr>
                <w:rFonts w:ascii="Verdana" w:hAnsi="Verdana" w:cs="Verdana"/>
                <w:b/>
                <w:bCs/>
              </w:rPr>
              <w:br/>
              <w:t>Đặng Ngọc Tùng</w:t>
            </w:r>
          </w:p>
        </w:tc>
      </w:tr>
    </w:tbl>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 </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QUY ĐỊNH</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rPr>
        <w:t>PHÂN PHỐI NGUỒN THU TÀI CHÍNH CÔNG ĐOÀN</w:t>
      </w:r>
      <w:r w:rsidRPr="005F6B5F">
        <w:rPr>
          <w:rFonts w:ascii="Verdana" w:hAnsi="Verdana" w:cs="Verdana"/>
        </w:rPr>
        <w:br/>
      </w:r>
      <w:r w:rsidRPr="005F6B5F">
        <w:rPr>
          <w:rFonts w:ascii="Verdana" w:hAnsi="Verdana" w:cs="Verdana"/>
          <w:i/>
          <w:iCs/>
        </w:rPr>
        <w:t>(Ban hành kèm theo Quyết định số 168/QĐ-TLĐ ngày 09 tháng 01 năm 2013 của Đoàn Chủ tịch Tổng Liên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Chương I</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QUY ĐỊNH CHUNG</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1. Phạm vi điều chỉnh.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Quy định này quy định việc phân phối nguồn thu tài chính công đoàn giữa các cấp công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2. Đối tượng áp dụng.</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Đối tượng áp dụng là các cấp công đoàn theo Điều lệ Công đoàn Việt Nam, bao gồm: Công đoàn cơ sở, nghiệp đoàn; Công đoàn cấp trên cơ sở; LĐLĐ tỉnh, thành phố; Công đoàn ngành Trung ương; Công đoàn Tổng Công ty trực thuộc Tổng Liên và Tổng Liên đoàn Lao động Việt Nam.</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3. Nguyên tắc phân phối</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1. Phân phối nguồn thu tài chính công đoàn là phân phối nguồn kinh phí và đoàn phí công đoàn. Nguồn thu khác của đơn vị nào đơn vị đó sử dụng, nguồn ngân sách Nhà nước cấp hỗ trợ thực hiện theo quy định của Luật Ngân sách Nhà nước.</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2. Phân phối nguồn thu tài chính công đoàn phải đảm bảo công khai, minh bạch, tạo chủ động cho các cấp công đoàn trong việc khai thác và sử dụng có hiệu quả, tiết kiệm nguồn tài chính công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Chương II</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QUY ĐỊNH CỤ THỂ</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 xml:space="preserve">Điều 4. Phân phối nguồn thu tài chính cho công đoàn cơ sở. </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 xml:space="preserve">Công đoàn cơ sở được sử dụng </w:t>
      </w:r>
      <w:r w:rsidRPr="00F90444">
        <w:rPr>
          <w:rFonts w:ascii="Verdana" w:hAnsi="Verdana" w:cs="Verdana"/>
          <w:highlight w:val="yellow"/>
        </w:rPr>
        <w:t>65% số</w:t>
      </w:r>
      <w:r w:rsidRPr="005F6B5F">
        <w:rPr>
          <w:rFonts w:ascii="Verdana" w:hAnsi="Verdana" w:cs="Verdana"/>
        </w:rPr>
        <w:t xml:space="preserve"> thu kinh phí công đoàn, </w:t>
      </w:r>
      <w:r w:rsidRPr="00F90444">
        <w:rPr>
          <w:rFonts w:ascii="Verdana" w:hAnsi="Verdana" w:cs="Verdana"/>
          <w:highlight w:val="yellow"/>
        </w:rPr>
        <w:t>60%</w:t>
      </w:r>
      <w:r w:rsidRPr="005F6B5F">
        <w:rPr>
          <w:rFonts w:ascii="Verdana" w:hAnsi="Verdana" w:cs="Verdana"/>
        </w:rPr>
        <w:t xml:space="preserve"> số thu đoàn phí công đoàn và 100% số thu khác của đơn vị.</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5. Phân phối nguồn thu tài chính cho công đoàn cấp trên cơ sở trở lên.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Công đoàn cấp trên cơ sở; LĐLĐ tỉnh, thành phố; Công đoàn ngành Trung ương; Công đoàn Tổng công ty trực thuộc Tổng Liên đoàn và Tổng Liên đoàn Lao động Việt Nam được sử dụng 35% tổng số thu kinh phí công đoàn và 40% tổng số thu đoàn phí công đoàn. Thu khác của đơn vị nào đơn vị đó được sử dụng.</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1. Phân phối nguồn thu tài chính công đoàn giữa LĐLĐ tỉnh, thành phố; Công đoàn ngành Trung ương; Công đoàn Tổng Công ty trực thuộc Tổng Liên đoàn và công đoàn cấp trên cơ sở trực thuộc do LĐLĐ tỉnh, thành phố; Công đoàn ngành Trung ương; Công đoàn Tổng Công ty trực thuộc Tổng Liên đoàn quy định.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2. Phân phối nguồn thu tài chính công đoàn giữa Tổng Liên đoàn Lao động Việt Nam và LĐLĐ tỉnh, thành phố; Công đoàn ngành Trung ương; Công đoàn Tổng Công ty trực thuộc Tổng Liên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a. Đơn vị nộp kinh phí về Tổng Liên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 LĐLĐ tỉnh, thành phố; Công đoàn ngành Trung ương; Công đoàn Tổng Công ty trực thuộc Tổng Liên đoàn có số kinh phí và đoàn phí công đoàn của Công đoàn cấp trên cơ sở trở lên được sử dụng (35% số thu kinh phí và 40% số thu đoàn phí) chênh lệch so với số chi của đơn vị tính theo định mức chi Tổng Liên đoàn thông báo hàng năm trên 10% phải nộp kinh phí về Tổng Liên đoàn. Số kinh phí phải nộp = ( Tổng số thu kinh phí, đoàn phí của đơn vị) x Mức nộp. Mức nộp như sau:</w:t>
      </w:r>
    </w:p>
    <w:tbl>
      <w:tblPr>
        <w:tblW w:w="0" w:type="auto"/>
        <w:tblInd w:w="2" w:type="dxa"/>
        <w:tblCellMar>
          <w:left w:w="0" w:type="dxa"/>
          <w:right w:w="0" w:type="dxa"/>
        </w:tblCellMar>
        <w:tblLook w:val="00A0"/>
      </w:tblPr>
      <w:tblGrid>
        <w:gridCol w:w="981"/>
        <w:gridCol w:w="4905"/>
        <w:gridCol w:w="2943"/>
      </w:tblGrid>
      <w:tr w:rsidR="00361781" w:rsidRPr="00373E36">
        <w:tc>
          <w:tcPr>
            <w:tcW w:w="9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Bậc</w:t>
            </w:r>
          </w:p>
        </w:tc>
        <w:tc>
          <w:tcPr>
            <w:tcW w:w="49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Số thu</w:t>
            </w:r>
          </w:p>
        </w:tc>
        <w:tc>
          <w:tcPr>
            <w:tcW w:w="29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Mức nộp (%)</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1</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450 tỷ đồng trở lên</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5</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2</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400 tỷ đồng đến dưới 450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4,5</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3</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350 tỷ đồng đến dưới 400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4</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4</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300 tỷ đồng đến dưới 350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3,5</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5</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250 tỷ đồng đến dưới 300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3</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6</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200 tỷ đồng đến dưới 250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2,5</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7</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150 tỷ đồng đến dưới 200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2</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8</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Từ 100 tỷ đồng đến dưới 150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1,5</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9</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Tõ 50 tỷ đồng đến dưới 100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1</w:t>
            </w:r>
          </w:p>
        </w:tc>
      </w:tr>
      <w:tr w:rsidR="00361781" w:rsidRPr="00373E36">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10</w:t>
            </w:r>
          </w:p>
        </w:tc>
        <w:tc>
          <w:tcPr>
            <w:tcW w:w="4905"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rPr>
                <w:rFonts w:ascii="Verdana" w:hAnsi="Verdana" w:cs="Verdana"/>
              </w:rPr>
            </w:pPr>
            <w:r w:rsidRPr="005F6B5F">
              <w:rPr>
                <w:rFonts w:ascii="Verdana" w:hAnsi="Verdana" w:cs="Verdana"/>
              </w:rPr>
              <w:t>Dưới 50 tỷ đồng</w:t>
            </w:r>
          </w:p>
        </w:tc>
        <w:tc>
          <w:tcPr>
            <w:tcW w:w="2943" w:type="dxa"/>
            <w:tcBorders>
              <w:top w:val="nil"/>
              <w:left w:val="nil"/>
              <w:bottom w:val="single" w:sz="8" w:space="0" w:color="auto"/>
              <w:right w:val="single" w:sz="8" w:space="0" w:color="auto"/>
            </w:tcBorders>
            <w:tcMar>
              <w:top w:w="0" w:type="dxa"/>
              <w:left w:w="108" w:type="dxa"/>
              <w:bottom w:w="0" w:type="dxa"/>
              <w:right w:w="108" w:type="dxa"/>
            </w:tcMar>
          </w:tcPr>
          <w:p w:rsidR="00361781" w:rsidRPr="005F6B5F" w:rsidRDefault="00361781" w:rsidP="005F6B5F">
            <w:pPr>
              <w:spacing w:after="120" w:line="312" w:lineRule="auto"/>
              <w:jc w:val="center"/>
              <w:rPr>
                <w:rFonts w:ascii="Verdana" w:hAnsi="Verdana" w:cs="Verdana"/>
              </w:rPr>
            </w:pPr>
            <w:r w:rsidRPr="005F6B5F">
              <w:rPr>
                <w:rFonts w:ascii="Verdana" w:hAnsi="Verdana" w:cs="Verdana"/>
              </w:rPr>
              <w:t>0,5</w:t>
            </w:r>
          </w:p>
        </w:tc>
      </w:tr>
    </w:tbl>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Trong năm nộp theo dự toán, khi có báo cáo quyết toán nộp theo số thu quyết toán.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Đối với đơn vị nộp về Tổng Liên đoàn theo mức trên, khi giao chỉ tiêu nộp, phải đảm bảo cho đơn vị cân đối thu, chi tính theo định mức chi Tổng Liên đoàn thông báo hàng năm chênh lệch tối thiểu bằng 10%.</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b. Đơn vị cân đối thu, chi.</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Các đơn vị có số kinh phí và đoàn phí của công đoàn cấp trên cơ sở trở lên được sử dụng (35% số thu kinh phí và 40% số thu đoàn phí) cân đối với số chi tính theo định mức chi Tổng Liên đoàn thông báo hàng năm hoặc chênh lệch 10% trở xuống được cân đối thu chi.</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c. Đơn vị được cấp hỗ trợ.</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Các đơn vị có số kinh phí và đoàn phí công đoàn các công đoàn cấp trên cơ sở trở lên được sử dụng (35% số thu kinh phí và 40% số thu đoàn phí) không cân đối được số chi theo định mức chi Tổng Liên đoàn thông báo, được cấp hỗ trợ phần chênh lệch.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d. Sử dụng số thu của Tổng Liên đoàn.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Số thu của Tổng Liên đoàn do các đơn vị nộp lên để chi cho cơ quan và các đơn vị trực thuộc Tổng Liên đoàn; cấp hỗ trợ cho cỏc đơn vị và dự phũng tài chính.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Chương III</w:t>
      </w:r>
    </w:p>
    <w:p w:rsidR="00361781" w:rsidRPr="005F6B5F" w:rsidRDefault="00361781" w:rsidP="005F6B5F">
      <w:pPr>
        <w:shd w:val="clear" w:color="auto" w:fill="FFFFFF"/>
        <w:spacing w:after="120" w:line="312" w:lineRule="auto"/>
        <w:jc w:val="center"/>
        <w:rPr>
          <w:rFonts w:ascii="Verdana" w:hAnsi="Verdana" w:cs="Verdana"/>
        </w:rPr>
      </w:pPr>
      <w:r w:rsidRPr="005F6B5F">
        <w:rPr>
          <w:rFonts w:ascii="Verdana" w:hAnsi="Verdana" w:cs="Verdana"/>
          <w:b/>
          <w:bCs/>
          <w:sz w:val="24"/>
          <w:szCs w:val="24"/>
        </w:rPr>
        <w:t>TỔ CHỨC THỰC HIỆN</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b/>
          <w:bCs/>
        </w:rPr>
        <w:t>Điều 6. Điều khoản thi hành.</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1. Ban Tài chính Tổng Liên đoàn có trách nhiệm tham mưu cho Đoàn Chủ tịch Tổng Liên đoàn quyết định nguyên tắc xây dựng dự toán, chỉ tiêu thu, nộp, định mức chi hàng năm.</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a- Định mức chi của các đơn vị nộp kinh phí về Tổng Liên đoàn cao hơn định mức chi của các đơn vị tự cân đối và định mức chi của các đơn vị tự cân đối cao hơn các đơn vị được cấp hỗ trợ.</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b- Giao chỉ tiêu cho các đơn vị nộp về Tổng Liên đoàn, các đơn vị tự cân đối và các đơn vị được cấp hỗ trợ căn cứ số cán bộ công đoàn chuyên trách do Tổng Liên đoàn thông báo. Các tỉnh miền núi được tính hệ số 1,5.</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2. Các LĐLĐ tỉnh, thành phố; Công đoàn ngành Trung ương; Công đoàn Tổng Công ty trực thuộc Tổng Liên đoàn căn cứ quy định này để ban hành Quy định phân phối nguồn thu tài chính của công đoàn cấp mình và công đoàn cấp trên cơ sở.</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3- Ủy ban Kiểm tra công đoàn các cấp có trách nhiệm kiểm tra việc thực hiện Quy định phân phối tài chính của cấp mình và công đoàn cấp dưới.</w:t>
      </w:r>
    </w:p>
    <w:p w:rsidR="00361781" w:rsidRPr="005F6B5F" w:rsidRDefault="00361781" w:rsidP="005F6B5F">
      <w:pPr>
        <w:shd w:val="clear" w:color="auto" w:fill="FFFFFF"/>
        <w:spacing w:after="120" w:line="312" w:lineRule="auto"/>
        <w:jc w:val="both"/>
        <w:rPr>
          <w:rFonts w:ascii="Verdana" w:hAnsi="Verdana" w:cs="Verdana"/>
        </w:rPr>
      </w:pPr>
      <w:r w:rsidRPr="005F6B5F">
        <w:rPr>
          <w:rFonts w:ascii="Verdana" w:hAnsi="Verdana" w:cs="Verdana"/>
        </w:rPr>
        <w:t>Trong quá trình thực hiện nếu có khó khăn, vướng mắc yêu cầu phản ánh kịp thời về Tổng Liên đoàn Lao động Việt Nam để nghiên cứu, giải quyết.</w:t>
      </w:r>
    </w:p>
    <w:p w:rsidR="00361781" w:rsidRDefault="00361781"/>
    <w:sectPr w:rsidR="00361781" w:rsidSect="009454A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781" w:rsidRDefault="00361781" w:rsidP="00F90444">
      <w:pPr>
        <w:spacing w:after="0" w:line="240" w:lineRule="auto"/>
      </w:pPr>
      <w:r>
        <w:separator/>
      </w:r>
    </w:p>
  </w:endnote>
  <w:endnote w:type="continuationSeparator" w:id="1">
    <w:p w:rsidR="00361781" w:rsidRDefault="00361781" w:rsidP="00F90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
    <w:panose1 w:val="00000000000000000000"/>
    <w:charset w:val="50"/>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781" w:rsidRDefault="00361781" w:rsidP="00F90444">
      <w:pPr>
        <w:spacing w:after="0" w:line="240" w:lineRule="auto"/>
      </w:pPr>
      <w:r>
        <w:separator/>
      </w:r>
    </w:p>
  </w:footnote>
  <w:footnote w:type="continuationSeparator" w:id="1">
    <w:p w:rsidR="00361781" w:rsidRDefault="00361781" w:rsidP="00F904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B5F"/>
    <w:rsid w:val="000339FC"/>
    <w:rsid w:val="000916B7"/>
    <w:rsid w:val="00180B87"/>
    <w:rsid w:val="00361781"/>
    <w:rsid w:val="00373E36"/>
    <w:rsid w:val="005F6B5F"/>
    <w:rsid w:val="007B71A3"/>
    <w:rsid w:val="008401EC"/>
    <w:rsid w:val="009454A7"/>
    <w:rsid w:val="00AE3898"/>
    <w:rsid w:val="00B6389E"/>
    <w:rsid w:val="00B95883"/>
    <w:rsid w:val="00C02057"/>
    <w:rsid w:val="00D52045"/>
    <w:rsid w:val="00F904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 w:hAnsi="Arial"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A7"/>
    <w:pPr>
      <w:spacing w:after="200" w:line="276" w:lineRule="auto"/>
    </w:pPr>
    <w:rPr>
      <w:rFonts w:cs="Arial"/>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6B5F"/>
    <w:pPr>
      <w:spacing w:after="0" w:line="312"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F90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0444"/>
  </w:style>
  <w:style w:type="paragraph" w:styleId="Footer">
    <w:name w:val="footer"/>
    <w:basedOn w:val="Normal"/>
    <w:link w:val="FooterChar"/>
    <w:uiPriority w:val="99"/>
    <w:semiHidden/>
    <w:rsid w:val="00F904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90444"/>
  </w:style>
</w:styles>
</file>

<file path=word/webSettings.xml><?xml version="1.0" encoding="utf-8"?>
<w:webSettings xmlns:r="http://schemas.openxmlformats.org/officeDocument/2006/relationships" xmlns:w="http://schemas.openxmlformats.org/wordprocessingml/2006/main">
  <w:divs>
    <w:div w:id="995762522">
      <w:marLeft w:val="0"/>
      <w:marRight w:val="0"/>
      <w:marTop w:val="0"/>
      <w:marBottom w:val="0"/>
      <w:divBdr>
        <w:top w:val="none" w:sz="0" w:space="0" w:color="auto"/>
        <w:left w:val="none" w:sz="0" w:space="0" w:color="auto"/>
        <w:bottom w:val="none" w:sz="0" w:space="0" w:color="auto"/>
        <w:right w:val="none" w:sz="0" w:space="0" w:color="auto"/>
      </w:divBdr>
      <w:divsChild>
        <w:div w:id="995762524">
          <w:marLeft w:val="0"/>
          <w:marRight w:val="0"/>
          <w:marTop w:val="0"/>
          <w:marBottom w:val="0"/>
          <w:divBdr>
            <w:top w:val="single" w:sz="6" w:space="0" w:color="C0C0C0"/>
            <w:left w:val="single" w:sz="6" w:space="0" w:color="C0C0C0"/>
            <w:bottom w:val="single" w:sz="6" w:space="0" w:color="C0C0C0"/>
            <w:right w:val="single" w:sz="6" w:space="0" w:color="C0C0C0"/>
          </w:divBdr>
          <w:divsChild>
            <w:div w:id="995762525">
              <w:marLeft w:val="54"/>
              <w:marRight w:val="54"/>
              <w:marTop w:val="54"/>
              <w:marBottom w:val="54"/>
              <w:divBdr>
                <w:top w:val="single" w:sz="6" w:space="1" w:color="C0C0C0"/>
                <w:left w:val="single" w:sz="6" w:space="1" w:color="C0C0C0"/>
                <w:bottom w:val="single" w:sz="6" w:space="1" w:color="C0C0C0"/>
                <w:right w:val="single" w:sz="6" w:space="1" w:color="C0C0C0"/>
              </w:divBdr>
              <w:divsChild>
                <w:div w:id="9957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933</Words>
  <Characters>5324</Characters>
  <Application>Microsoft Office Outlook</Application>
  <DocSecurity>0</DocSecurity>
  <Lines>0</Lines>
  <Paragraphs>0</Paragraphs>
  <ScaleCrop>false</ScaleCrop>
  <Company>AkzoNobel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subject/>
  <dc:creator>huynd01</dc:creator>
  <cp:keywords/>
  <dc:description/>
  <cp:lastModifiedBy>Admin</cp:lastModifiedBy>
  <cp:revision>2</cp:revision>
  <dcterms:created xsi:type="dcterms:W3CDTF">2013-05-22T08:13:00Z</dcterms:created>
  <dcterms:modified xsi:type="dcterms:W3CDTF">2013-05-22T08:14:00Z</dcterms:modified>
</cp:coreProperties>
</file>